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3868"/>
        <w:gridCol w:w="1249"/>
        <w:gridCol w:w="1458"/>
        <w:gridCol w:w="1249"/>
        <w:gridCol w:w="1249"/>
      </w:tblGrid>
      <w:tr w:rsidR="00B460C6" w:rsidRPr="00B460C6" w:rsidTr="00B460C6">
        <w:trPr>
          <w:tblHeader/>
        </w:trPr>
        <w:tc>
          <w:tcPr>
            <w:tcW w:w="0" w:type="auto"/>
            <w:gridSpan w:val="5"/>
            <w:tcBorders>
              <w:top w:val="nil"/>
              <w:left w:val="nil"/>
              <w:bottom w:val="nil"/>
              <w:right w:val="nil"/>
            </w:tcBorders>
            <w:shd w:val="clear" w:color="auto" w:fill="EDEBE0"/>
            <w:tcMar>
              <w:top w:w="60" w:type="dxa"/>
              <w:left w:w="60" w:type="dxa"/>
              <w:bottom w:w="60" w:type="dxa"/>
              <w:right w:w="60" w:type="dxa"/>
            </w:tcMar>
            <w:vAlign w:val="center"/>
            <w:hideMark/>
          </w:tcPr>
          <w:p w:rsidR="00B460C6" w:rsidRPr="00B460C6" w:rsidRDefault="00B460C6" w:rsidP="00B460C6">
            <w:pPr>
              <w:spacing w:after="75" w:line="240" w:lineRule="auto"/>
              <w:rPr>
                <w:rFonts w:ascii="Verdana" w:eastAsia="Times New Roman" w:hAnsi="Verdana" w:cs="Times New Roman"/>
                <w:sz w:val="14"/>
                <w:szCs w:val="14"/>
                <w:lang w:eastAsia="en-AU"/>
              </w:rPr>
            </w:pPr>
            <w:r w:rsidRPr="00B460C6">
              <w:rPr>
                <w:rFonts w:ascii="Verdana" w:eastAsia="Times New Roman" w:hAnsi="Verdana" w:cs="Times New Roman"/>
                <w:b/>
                <w:bCs/>
                <w:sz w:val="14"/>
                <w:szCs w:val="14"/>
                <w:lang w:eastAsia="en-AU"/>
              </w:rPr>
              <w:t>Table 71:</w:t>
            </w:r>
            <w:r w:rsidRPr="00B460C6">
              <w:rPr>
                <w:rFonts w:ascii="Verdana" w:eastAsia="Times New Roman" w:hAnsi="Verdana" w:cs="Times New Roman"/>
                <w:sz w:val="14"/>
                <w:szCs w:val="14"/>
                <w:lang w:eastAsia="en-AU"/>
              </w:rPr>
              <w:t xml:space="preserve"> Expenditure on consultancy services 2009–10 to 2012–13</w:t>
            </w:r>
          </w:p>
        </w:tc>
      </w:tr>
      <w:tr w:rsidR="00B460C6" w:rsidRPr="00B460C6" w:rsidTr="00B460C6">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B460C6" w:rsidRPr="00B460C6" w:rsidRDefault="00B460C6" w:rsidP="00B460C6">
            <w:pPr>
              <w:spacing w:after="0" w:line="240" w:lineRule="auto"/>
              <w:jc w:val="center"/>
              <w:rPr>
                <w:rFonts w:ascii="Verdana" w:eastAsia="Times New Roman" w:hAnsi="Verdana" w:cs="Times New Roman"/>
                <w:b/>
                <w:bCs/>
                <w:color w:val="000000"/>
                <w:sz w:val="17"/>
                <w:szCs w:val="17"/>
                <w:lang w:eastAsia="en-AU"/>
              </w:rPr>
            </w:pPr>
            <w:r w:rsidRPr="00B460C6">
              <w:rPr>
                <w:rFonts w:ascii="Verdana" w:eastAsia="Times New Roman" w:hAnsi="Verdana" w:cs="Times New Roman"/>
                <w:b/>
                <w:bCs/>
                <w:color w:val="000000"/>
                <w:sz w:val="17"/>
                <w:szCs w:val="17"/>
                <w:lang w:eastAsia="en-AU"/>
              </w:rPr>
              <w:t> </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B460C6" w:rsidRPr="00B460C6" w:rsidRDefault="00B460C6" w:rsidP="00B460C6">
            <w:pPr>
              <w:spacing w:after="0" w:line="240" w:lineRule="auto"/>
              <w:jc w:val="right"/>
              <w:rPr>
                <w:rFonts w:ascii="Verdana" w:eastAsia="Times New Roman" w:hAnsi="Verdana" w:cs="Times New Roman"/>
                <w:b/>
                <w:bCs/>
                <w:color w:val="000000"/>
                <w:sz w:val="17"/>
                <w:szCs w:val="17"/>
                <w:lang w:eastAsia="en-AU"/>
              </w:rPr>
            </w:pPr>
            <w:r w:rsidRPr="00B460C6">
              <w:rPr>
                <w:rFonts w:ascii="Verdana" w:eastAsia="Times New Roman" w:hAnsi="Verdana" w:cs="Times New Roman"/>
                <w:b/>
                <w:bCs/>
                <w:color w:val="000000"/>
                <w:sz w:val="17"/>
                <w:szCs w:val="17"/>
                <w:lang w:eastAsia="en-AU"/>
              </w:rPr>
              <w:t>2009–10</w:t>
            </w:r>
            <w:r w:rsidRPr="00B460C6">
              <w:rPr>
                <w:rFonts w:ascii="Verdana" w:eastAsia="Times New Roman" w:hAnsi="Verdana" w:cs="Times New Roman"/>
                <w:b/>
                <w:bCs/>
                <w:color w:val="000000"/>
                <w:sz w:val="17"/>
                <w:szCs w:val="17"/>
                <w:vertAlign w:val="superscript"/>
                <w:lang w:eastAsia="en-AU"/>
              </w:rPr>
              <w:t>1</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B460C6" w:rsidRPr="00B460C6" w:rsidRDefault="00B460C6" w:rsidP="00B460C6">
            <w:pPr>
              <w:spacing w:after="0" w:line="240" w:lineRule="auto"/>
              <w:jc w:val="right"/>
              <w:rPr>
                <w:rFonts w:ascii="Verdana" w:eastAsia="Times New Roman" w:hAnsi="Verdana" w:cs="Times New Roman"/>
                <w:b/>
                <w:bCs/>
                <w:color w:val="000000"/>
                <w:sz w:val="17"/>
                <w:szCs w:val="17"/>
                <w:lang w:eastAsia="en-AU"/>
              </w:rPr>
            </w:pPr>
            <w:r w:rsidRPr="00B460C6">
              <w:rPr>
                <w:rFonts w:ascii="Verdana" w:eastAsia="Times New Roman" w:hAnsi="Verdana" w:cs="Times New Roman"/>
                <w:b/>
                <w:bCs/>
                <w:color w:val="000000"/>
                <w:sz w:val="17"/>
                <w:szCs w:val="17"/>
                <w:lang w:eastAsia="en-AU"/>
              </w:rPr>
              <w:t>2010–11</w:t>
            </w:r>
            <w:r w:rsidRPr="00B460C6">
              <w:rPr>
                <w:rFonts w:ascii="Verdana" w:eastAsia="Times New Roman" w:hAnsi="Verdana" w:cs="Times New Roman"/>
                <w:b/>
                <w:bCs/>
                <w:color w:val="000000"/>
                <w:sz w:val="17"/>
                <w:szCs w:val="17"/>
                <w:vertAlign w:val="superscript"/>
                <w:lang w:eastAsia="en-AU"/>
              </w:rPr>
              <w:t>1</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B460C6" w:rsidRPr="00B460C6" w:rsidRDefault="00B460C6" w:rsidP="00B460C6">
            <w:pPr>
              <w:spacing w:after="0" w:line="240" w:lineRule="auto"/>
              <w:jc w:val="right"/>
              <w:rPr>
                <w:rFonts w:ascii="Verdana" w:eastAsia="Times New Roman" w:hAnsi="Verdana" w:cs="Times New Roman"/>
                <w:b/>
                <w:bCs/>
                <w:color w:val="000000"/>
                <w:sz w:val="17"/>
                <w:szCs w:val="17"/>
                <w:lang w:eastAsia="en-AU"/>
              </w:rPr>
            </w:pPr>
            <w:r w:rsidRPr="00B460C6">
              <w:rPr>
                <w:rFonts w:ascii="Verdana" w:eastAsia="Times New Roman" w:hAnsi="Verdana" w:cs="Times New Roman"/>
                <w:b/>
                <w:bCs/>
                <w:color w:val="000000"/>
                <w:sz w:val="17"/>
                <w:szCs w:val="17"/>
                <w:lang w:eastAsia="en-AU"/>
              </w:rPr>
              <w:t>2011-12</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B460C6" w:rsidRPr="00B460C6" w:rsidRDefault="00B460C6" w:rsidP="00B460C6">
            <w:pPr>
              <w:spacing w:after="0" w:line="240" w:lineRule="auto"/>
              <w:jc w:val="right"/>
              <w:rPr>
                <w:rFonts w:ascii="Verdana" w:eastAsia="Times New Roman" w:hAnsi="Verdana" w:cs="Times New Roman"/>
                <w:b/>
                <w:bCs/>
                <w:color w:val="000000"/>
                <w:sz w:val="17"/>
                <w:szCs w:val="17"/>
                <w:lang w:eastAsia="en-AU"/>
              </w:rPr>
            </w:pPr>
            <w:r w:rsidRPr="00B460C6">
              <w:rPr>
                <w:rFonts w:ascii="Verdana" w:eastAsia="Times New Roman" w:hAnsi="Verdana" w:cs="Times New Roman"/>
                <w:b/>
                <w:bCs/>
                <w:color w:val="000000"/>
                <w:sz w:val="17"/>
                <w:szCs w:val="17"/>
                <w:lang w:eastAsia="en-AU"/>
              </w:rPr>
              <w:t>2012-13</w:t>
            </w:r>
          </w:p>
        </w:tc>
      </w:tr>
      <w:tr w:rsidR="00B460C6" w:rsidRPr="00B460C6" w:rsidTr="00B460C6">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B460C6" w:rsidRPr="00B460C6" w:rsidRDefault="00B460C6" w:rsidP="00B460C6">
            <w:pPr>
              <w:spacing w:after="0" w:line="240" w:lineRule="auto"/>
              <w:rPr>
                <w:rFonts w:ascii="Verdana" w:eastAsia="Times New Roman" w:hAnsi="Verdana" w:cs="Times New Roman"/>
                <w:sz w:val="17"/>
                <w:szCs w:val="17"/>
                <w:lang w:eastAsia="en-AU"/>
              </w:rPr>
            </w:pPr>
            <w:r w:rsidRPr="00B460C6">
              <w:rPr>
                <w:rFonts w:ascii="Verdana" w:eastAsia="Times New Roman" w:hAnsi="Verdana" w:cs="Times New Roman"/>
                <w:sz w:val="17"/>
                <w:szCs w:val="17"/>
                <w:lang w:eastAsia="en-AU"/>
              </w:rPr>
              <w:t>Total consultancy services expenditure</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B460C6" w:rsidRPr="00B460C6" w:rsidRDefault="00B460C6" w:rsidP="00B460C6">
            <w:pPr>
              <w:spacing w:after="0" w:line="240" w:lineRule="auto"/>
              <w:jc w:val="right"/>
              <w:rPr>
                <w:rFonts w:ascii="Verdana" w:eastAsia="Times New Roman" w:hAnsi="Verdana" w:cs="Times New Roman"/>
                <w:sz w:val="17"/>
                <w:szCs w:val="17"/>
                <w:lang w:eastAsia="en-AU"/>
              </w:rPr>
            </w:pPr>
            <w:r w:rsidRPr="00B460C6">
              <w:rPr>
                <w:rFonts w:ascii="Verdana" w:eastAsia="Times New Roman" w:hAnsi="Verdana" w:cs="Times New Roman"/>
                <w:sz w:val="17"/>
                <w:szCs w:val="17"/>
                <w:lang w:eastAsia="en-AU"/>
              </w:rPr>
              <w:t>$6,138,844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B460C6" w:rsidRPr="00B460C6" w:rsidRDefault="00B460C6" w:rsidP="00B460C6">
            <w:pPr>
              <w:spacing w:after="0" w:line="240" w:lineRule="auto"/>
              <w:jc w:val="right"/>
              <w:rPr>
                <w:rFonts w:ascii="Verdana" w:eastAsia="Times New Roman" w:hAnsi="Verdana" w:cs="Times New Roman"/>
                <w:sz w:val="17"/>
                <w:szCs w:val="17"/>
                <w:lang w:eastAsia="en-AU"/>
              </w:rPr>
            </w:pPr>
            <w:r w:rsidRPr="00B460C6">
              <w:rPr>
                <w:rFonts w:ascii="Verdana" w:eastAsia="Times New Roman" w:hAnsi="Verdana" w:cs="Times New Roman"/>
                <w:sz w:val="17"/>
                <w:szCs w:val="17"/>
                <w:lang w:eastAsia="en-AU"/>
              </w:rPr>
              <w:t>$14,143,651</w:t>
            </w:r>
            <w:r w:rsidRPr="00B460C6">
              <w:rPr>
                <w:rFonts w:ascii="Verdana" w:eastAsia="Times New Roman" w:hAnsi="Verdana" w:cs="Times New Roman"/>
                <w:b/>
                <w:bCs/>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B460C6" w:rsidRPr="00B460C6" w:rsidRDefault="00B460C6" w:rsidP="00B460C6">
            <w:pPr>
              <w:spacing w:after="0" w:line="240" w:lineRule="auto"/>
              <w:jc w:val="right"/>
              <w:rPr>
                <w:rFonts w:ascii="Verdana" w:eastAsia="Times New Roman" w:hAnsi="Verdana" w:cs="Times New Roman"/>
                <w:sz w:val="17"/>
                <w:szCs w:val="17"/>
                <w:lang w:eastAsia="en-AU"/>
              </w:rPr>
            </w:pPr>
            <w:r w:rsidRPr="00B460C6">
              <w:rPr>
                <w:rFonts w:ascii="Verdana" w:eastAsia="Times New Roman" w:hAnsi="Verdana" w:cs="Times New Roman"/>
                <w:sz w:val="17"/>
                <w:szCs w:val="17"/>
                <w:lang w:eastAsia="en-AU"/>
              </w:rPr>
              <w:t>$7,356,187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B460C6" w:rsidRPr="00B460C6" w:rsidRDefault="00B460C6" w:rsidP="00B460C6">
            <w:pPr>
              <w:spacing w:after="0" w:line="240" w:lineRule="auto"/>
              <w:jc w:val="right"/>
              <w:rPr>
                <w:rFonts w:ascii="Verdana" w:eastAsia="Times New Roman" w:hAnsi="Verdana" w:cs="Times New Roman"/>
                <w:sz w:val="17"/>
                <w:szCs w:val="17"/>
                <w:lang w:eastAsia="en-AU"/>
              </w:rPr>
            </w:pPr>
            <w:r w:rsidRPr="00B460C6">
              <w:rPr>
                <w:rFonts w:ascii="Verdana" w:eastAsia="Times New Roman" w:hAnsi="Verdana" w:cs="Times New Roman"/>
                <w:sz w:val="17"/>
                <w:szCs w:val="17"/>
                <w:lang w:eastAsia="en-AU"/>
              </w:rPr>
              <w:t>$3,006,440</w:t>
            </w:r>
          </w:p>
        </w:tc>
      </w:tr>
    </w:tbl>
    <w:p w:rsidR="00B460C6" w:rsidRDefault="00B460C6" w:rsidP="00B460C6">
      <w:pPr>
        <w:shd w:val="clear" w:color="auto" w:fill="FFFFFF"/>
        <w:spacing w:after="170" w:line="240" w:lineRule="auto"/>
        <w:rPr>
          <w:rFonts w:ascii="Verdana" w:eastAsia="Times New Roman" w:hAnsi="Verdana" w:cs="Times New Roman"/>
          <w:sz w:val="15"/>
          <w:szCs w:val="15"/>
          <w:lang w:val="en" w:eastAsia="en-AU"/>
        </w:rPr>
      </w:pPr>
    </w:p>
    <w:p w:rsidR="00B460C6" w:rsidRPr="00B460C6" w:rsidRDefault="00B460C6" w:rsidP="00B460C6">
      <w:pPr>
        <w:shd w:val="clear" w:color="auto" w:fill="FFFFFF"/>
        <w:spacing w:after="170" w:line="240" w:lineRule="auto"/>
        <w:rPr>
          <w:rFonts w:ascii="Verdana" w:eastAsia="Times New Roman" w:hAnsi="Verdana" w:cs="Times New Roman"/>
          <w:sz w:val="15"/>
          <w:szCs w:val="15"/>
          <w:lang w:val="en" w:eastAsia="en-AU"/>
        </w:rPr>
      </w:pPr>
      <w:bookmarkStart w:id="0" w:name="_GoBack"/>
      <w:bookmarkEnd w:id="0"/>
      <w:r w:rsidRPr="00B460C6">
        <w:rPr>
          <w:rFonts w:ascii="Verdana" w:eastAsia="Times New Roman" w:hAnsi="Verdana" w:cs="Times New Roman"/>
          <w:sz w:val="15"/>
          <w:szCs w:val="15"/>
          <w:lang w:val="en" w:eastAsia="en-AU"/>
        </w:rPr>
        <w:t>1. Total departmental expenditure for 2009–10 and 2010–11 was calculated by adding together the total expenditure reported in the separate annual reports of the former agencies (Centrelink, Medicare Australia and the Department of Human Services, including the Child Support Program and CRS Australia).</w:t>
      </w:r>
    </w:p>
    <w:p w:rsidR="00B460C6" w:rsidRPr="00B460C6" w:rsidRDefault="00B460C6" w:rsidP="00B460C6">
      <w:pPr>
        <w:shd w:val="clear" w:color="auto" w:fill="FFFFFF"/>
        <w:spacing w:after="170" w:line="240" w:lineRule="auto"/>
        <w:rPr>
          <w:rFonts w:ascii="Verdana" w:eastAsia="Times New Roman" w:hAnsi="Verdana" w:cs="Times New Roman"/>
          <w:sz w:val="15"/>
          <w:szCs w:val="15"/>
          <w:lang w:val="en" w:eastAsia="en-AU"/>
        </w:rPr>
      </w:pPr>
      <w:r w:rsidRPr="00B460C6">
        <w:rPr>
          <w:rFonts w:ascii="Verdana" w:eastAsia="Times New Roman" w:hAnsi="Verdana" w:cs="Times New Roman"/>
          <w:sz w:val="15"/>
          <w:szCs w:val="15"/>
          <w:lang w:val="en" w:eastAsia="en-AU"/>
        </w:rPr>
        <w:t>2. Departmental expenditure on consultancy services was high in 2010–11 due to significant work related to service delivery reform.</w:t>
      </w:r>
    </w:p>
    <w:p w:rsidR="006F7EF6" w:rsidRPr="00B460C6" w:rsidRDefault="006F7EF6" w:rsidP="00B460C6"/>
    <w:sectPr w:rsidR="006F7EF6" w:rsidRPr="00B460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B09"/>
    <w:rsid w:val="006F7EF6"/>
    <w:rsid w:val="00730B09"/>
    <w:rsid w:val="00B460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0B09"/>
    <w:rPr>
      <w:b/>
      <w:bCs/>
    </w:rPr>
  </w:style>
  <w:style w:type="paragraph" w:customStyle="1" w:styleId="fs90">
    <w:name w:val="fs90"/>
    <w:basedOn w:val="Normal"/>
    <w:rsid w:val="00B460C6"/>
    <w:pPr>
      <w:spacing w:after="170" w:line="240" w:lineRule="auto"/>
    </w:pPr>
    <w:rPr>
      <w:rFonts w:ascii="Times New Roman" w:eastAsia="Times New Roman" w:hAnsi="Times New Roman" w:cs="Times New Roman"/>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0B09"/>
    <w:rPr>
      <w:b/>
      <w:bCs/>
    </w:rPr>
  </w:style>
  <w:style w:type="paragraph" w:customStyle="1" w:styleId="fs90">
    <w:name w:val="fs90"/>
    <w:basedOn w:val="Normal"/>
    <w:rsid w:val="00B460C6"/>
    <w:pPr>
      <w:spacing w:after="170" w:line="240" w:lineRule="auto"/>
    </w:pPr>
    <w:rPr>
      <w:rFonts w:ascii="Times New Roman" w:eastAsia="Times New Roman" w:hAnsi="Times New Roman"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187999">
      <w:bodyDiv w:val="1"/>
      <w:marLeft w:val="0"/>
      <w:marRight w:val="0"/>
      <w:marTop w:val="0"/>
      <w:marBottom w:val="0"/>
      <w:divBdr>
        <w:top w:val="none" w:sz="0" w:space="0" w:color="auto"/>
        <w:left w:val="none" w:sz="0" w:space="0" w:color="auto"/>
        <w:bottom w:val="none" w:sz="0" w:space="0" w:color="auto"/>
        <w:right w:val="none" w:sz="0" w:space="0" w:color="auto"/>
      </w:divBdr>
      <w:divsChild>
        <w:div w:id="539754577">
          <w:marLeft w:val="0"/>
          <w:marRight w:val="0"/>
          <w:marTop w:val="0"/>
          <w:marBottom w:val="0"/>
          <w:divBdr>
            <w:top w:val="none" w:sz="0" w:space="0" w:color="auto"/>
            <w:left w:val="none" w:sz="0" w:space="0" w:color="auto"/>
            <w:bottom w:val="none" w:sz="0" w:space="0" w:color="auto"/>
            <w:right w:val="none" w:sz="0" w:space="0" w:color="auto"/>
          </w:divBdr>
          <w:divsChild>
            <w:div w:id="1766265738">
              <w:marLeft w:val="0"/>
              <w:marRight w:val="0"/>
              <w:marTop w:val="0"/>
              <w:marBottom w:val="0"/>
              <w:divBdr>
                <w:top w:val="none" w:sz="0" w:space="0" w:color="auto"/>
                <w:left w:val="none" w:sz="0" w:space="0" w:color="auto"/>
                <w:bottom w:val="none" w:sz="0" w:space="0" w:color="auto"/>
                <w:right w:val="none" w:sz="0" w:space="0" w:color="auto"/>
              </w:divBdr>
              <w:divsChild>
                <w:div w:id="1170291802">
                  <w:marLeft w:val="0"/>
                  <w:marRight w:val="0"/>
                  <w:marTop w:val="0"/>
                  <w:marBottom w:val="0"/>
                  <w:divBdr>
                    <w:top w:val="none" w:sz="0" w:space="0" w:color="auto"/>
                    <w:left w:val="none" w:sz="0" w:space="0" w:color="auto"/>
                    <w:bottom w:val="none" w:sz="0" w:space="0" w:color="auto"/>
                    <w:right w:val="none" w:sz="0" w:space="0" w:color="auto"/>
                  </w:divBdr>
                  <w:divsChild>
                    <w:div w:id="73823245">
                      <w:marLeft w:val="0"/>
                      <w:marRight w:val="0"/>
                      <w:marTop w:val="0"/>
                      <w:marBottom w:val="0"/>
                      <w:divBdr>
                        <w:top w:val="none" w:sz="0" w:space="0" w:color="auto"/>
                        <w:left w:val="none" w:sz="0" w:space="0" w:color="auto"/>
                        <w:bottom w:val="none" w:sz="0" w:space="0" w:color="auto"/>
                        <w:right w:val="none" w:sz="0" w:space="0" w:color="auto"/>
                      </w:divBdr>
                      <w:divsChild>
                        <w:div w:id="15903079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747617">
      <w:bodyDiv w:val="1"/>
      <w:marLeft w:val="0"/>
      <w:marRight w:val="0"/>
      <w:marTop w:val="0"/>
      <w:marBottom w:val="0"/>
      <w:divBdr>
        <w:top w:val="none" w:sz="0" w:space="0" w:color="auto"/>
        <w:left w:val="none" w:sz="0" w:space="0" w:color="auto"/>
        <w:bottom w:val="none" w:sz="0" w:space="0" w:color="auto"/>
        <w:right w:val="none" w:sz="0" w:space="0" w:color="auto"/>
      </w:divBdr>
      <w:divsChild>
        <w:div w:id="204488223">
          <w:marLeft w:val="0"/>
          <w:marRight w:val="0"/>
          <w:marTop w:val="0"/>
          <w:marBottom w:val="0"/>
          <w:divBdr>
            <w:top w:val="none" w:sz="0" w:space="0" w:color="auto"/>
            <w:left w:val="none" w:sz="0" w:space="0" w:color="auto"/>
            <w:bottom w:val="none" w:sz="0" w:space="0" w:color="auto"/>
            <w:right w:val="none" w:sz="0" w:space="0" w:color="auto"/>
          </w:divBdr>
          <w:divsChild>
            <w:div w:id="1778716590">
              <w:marLeft w:val="0"/>
              <w:marRight w:val="0"/>
              <w:marTop w:val="0"/>
              <w:marBottom w:val="0"/>
              <w:divBdr>
                <w:top w:val="none" w:sz="0" w:space="0" w:color="auto"/>
                <w:left w:val="none" w:sz="0" w:space="0" w:color="auto"/>
                <w:bottom w:val="none" w:sz="0" w:space="0" w:color="auto"/>
                <w:right w:val="none" w:sz="0" w:space="0" w:color="auto"/>
              </w:divBdr>
              <w:divsChild>
                <w:div w:id="1434209078">
                  <w:marLeft w:val="0"/>
                  <w:marRight w:val="0"/>
                  <w:marTop w:val="0"/>
                  <w:marBottom w:val="0"/>
                  <w:divBdr>
                    <w:top w:val="none" w:sz="0" w:space="0" w:color="auto"/>
                    <w:left w:val="none" w:sz="0" w:space="0" w:color="auto"/>
                    <w:bottom w:val="none" w:sz="0" w:space="0" w:color="auto"/>
                    <w:right w:val="none" w:sz="0" w:space="0" w:color="auto"/>
                  </w:divBdr>
                  <w:divsChild>
                    <w:div w:id="1879469980">
                      <w:marLeft w:val="0"/>
                      <w:marRight w:val="0"/>
                      <w:marTop w:val="0"/>
                      <w:marBottom w:val="0"/>
                      <w:divBdr>
                        <w:top w:val="none" w:sz="0" w:space="0" w:color="auto"/>
                        <w:left w:val="none" w:sz="0" w:space="0" w:color="auto"/>
                        <w:bottom w:val="none" w:sz="0" w:space="0" w:color="auto"/>
                        <w:right w:val="none" w:sz="0" w:space="0" w:color="auto"/>
                      </w:divBdr>
                      <w:divsChild>
                        <w:div w:id="1175344560">
                          <w:marLeft w:val="0"/>
                          <w:marRight w:val="0"/>
                          <w:marTop w:val="0"/>
                          <w:marBottom w:val="0"/>
                          <w:divBdr>
                            <w:top w:val="none" w:sz="0" w:space="0" w:color="auto"/>
                            <w:left w:val="none" w:sz="0" w:space="0" w:color="auto"/>
                            <w:bottom w:val="none" w:sz="0" w:space="0" w:color="auto"/>
                            <w:right w:val="none" w:sz="0" w:space="0" w:color="auto"/>
                          </w:divBdr>
                          <w:divsChild>
                            <w:div w:id="4830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2014-02-24T05:09:00Z</dcterms:created>
  <dcterms:modified xsi:type="dcterms:W3CDTF">2014-03-04T22:59:00Z</dcterms:modified>
</cp:coreProperties>
</file>